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CA942" w14:textId="1B46E4D3" w:rsidR="00A1324B" w:rsidRPr="00A1324B" w:rsidRDefault="00A1324B" w:rsidP="00A1324B">
      <w:pPr>
        <w:rPr>
          <w:b/>
          <w:bCs/>
          <w:sz w:val="28"/>
          <w:szCs w:val="28"/>
        </w:rPr>
      </w:pPr>
      <w:r w:rsidRPr="00A1324B">
        <w:rPr>
          <w:b/>
          <w:bCs/>
          <w:sz w:val="28"/>
          <w:szCs w:val="28"/>
        </w:rPr>
        <w:t>KS religion</w:t>
      </w:r>
    </w:p>
    <w:p w14:paraId="6ADEB6F6" w14:textId="129801F4" w:rsidR="00A1324B" w:rsidRPr="00A1324B" w:rsidRDefault="00A1324B" w:rsidP="00A1324B">
      <w:pPr>
        <w:suppressLineNumbers/>
        <w:rPr>
          <w:b/>
          <w:bCs/>
          <w:sz w:val="28"/>
          <w:szCs w:val="28"/>
        </w:rPr>
      </w:pPr>
      <w:r w:rsidRPr="00A1324B">
        <w:rPr>
          <w:b/>
          <w:bCs/>
          <w:sz w:val="28"/>
          <w:szCs w:val="28"/>
        </w:rPr>
        <w:t>Emne: indvandring og islam</w:t>
      </w:r>
    </w:p>
    <w:p w14:paraId="158C19F1" w14:textId="29DCE68C" w:rsidR="00A1324B" w:rsidRPr="00A1324B" w:rsidRDefault="00A1324B" w:rsidP="00A1324B">
      <w:pPr>
        <w:suppressLineNumbers/>
      </w:pPr>
      <w:r w:rsidRPr="00A1324B">
        <w:t>1: Redegør kort for spiseregler i islam. Inkluder viden fra </w:t>
      </w:r>
      <w:r w:rsidR="003561AD">
        <w:t>dit</w:t>
      </w:r>
      <w:r w:rsidRPr="00A1324B">
        <w:t> bilag</w:t>
      </w:r>
      <w:r w:rsidR="003561AD">
        <w:t>smateriale</w:t>
      </w:r>
      <w:r w:rsidRPr="00A1324B">
        <w:t> og undervisningen. </w:t>
      </w:r>
    </w:p>
    <w:p w14:paraId="3ACBF610" w14:textId="72D41D00" w:rsidR="00A1324B" w:rsidRPr="00A1324B" w:rsidRDefault="00A1324B" w:rsidP="00A1324B">
      <w:pPr>
        <w:suppressLineNumbers/>
      </w:pPr>
      <w:r w:rsidRPr="00A1324B">
        <w:t>2: Analyser bilag</w:t>
      </w:r>
      <w:r w:rsidR="00611251">
        <w:t xml:space="preserve"> 1</w:t>
      </w:r>
      <w:r w:rsidRPr="00A1324B">
        <w:t xml:space="preserve"> med fokus på, hvordan Conradsen og Gotfredsen argumenterer forskelligt for, hvordan pædagoger bør tage hensyn til religion? </w:t>
      </w:r>
    </w:p>
    <w:p w14:paraId="3DAB908A" w14:textId="7809EF5E" w:rsidR="00A1324B" w:rsidRPr="00A1324B" w:rsidRDefault="00A1324B" w:rsidP="00A1324B">
      <w:pPr>
        <w:suppressLineNumbers/>
      </w:pPr>
      <w:r w:rsidRPr="00A1324B">
        <w:t>3: Diskuter</w:t>
      </w:r>
      <w:r w:rsidR="00243964">
        <w:t xml:space="preserve"> med udgangspunkt</w:t>
      </w:r>
      <w:r w:rsidR="00BB0147">
        <w:t xml:space="preserve"> i </w:t>
      </w:r>
      <w:r w:rsidR="003A3CBA">
        <w:t>begge bilag</w:t>
      </w:r>
      <w:r w:rsidRPr="00A1324B">
        <w:t>, hvorfor der kan opstå udfordringer og konflikter i dagtilbud i forhold til religioners spiseregler. (Inddrag begreber som sekularisering, pluralisme, minoritet-majoritet)</w:t>
      </w:r>
      <w:r w:rsidR="00081363">
        <w:t>.</w:t>
      </w:r>
    </w:p>
    <w:p w14:paraId="756E3D20" w14:textId="6AF380AC" w:rsidR="00A1324B" w:rsidRDefault="00A1324B" w:rsidP="00A1324B">
      <w:r w:rsidRPr="00A1324B">
        <w:t> </w:t>
      </w:r>
    </w:p>
    <w:p w14:paraId="212BF488" w14:textId="76B7DBCD" w:rsidR="00A1324B" w:rsidRPr="00A1324B" w:rsidRDefault="00A1324B" w:rsidP="00A1324B">
      <w:pPr>
        <w:rPr>
          <w:b/>
          <w:bCs/>
          <w:color w:val="0070C0"/>
          <w:sz w:val="36"/>
          <w:szCs w:val="36"/>
        </w:rPr>
      </w:pPr>
      <w:r w:rsidRPr="00A1324B">
        <w:rPr>
          <w:b/>
          <w:bCs/>
          <w:color w:val="0070C0"/>
          <w:sz w:val="36"/>
          <w:szCs w:val="36"/>
        </w:rPr>
        <w:t>Bilag 1</w:t>
      </w:r>
    </w:p>
    <w:p w14:paraId="2E50BB48" w14:textId="77777777" w:rsidR="00A1324B" w:rsidRPr="00A1324B" w:rsidRDefault="00A1324B" w:rsidP="00A1324B">
      <w:pPr>
        <w:rPr>
          <w:i/>
          <w:iCs/>
          <w:sz w:val="20"/>
          <w:szCs w:val="20"/>
        </w:rPr>
      </w:pPr>
      <w:r w:rsidRPr="00A1324B">
        <w:rPr>
          <w:b/>
          <w:bCs/>
          <w:i/>
          <w:iCs/>
          <w:sz w:val="20"/>
          <w:szCs w:val="20"/>
        </w:rPr>
        <w:t>TEMA: INTEGRATION OG RELIGION. Pro et contra</w:t>
      </w:r>
      <w:r w:rsidRPr="00A1324B">
        <w:rPr>
          <w:i/>
          <w:iCs/>
          <w:sz w:val="20"/>
          <w:szCs w:val="20"/>
        </w:rPr>
        <w:t> </w:t>
      </w:r>
    </w:p>
    <w:p w14:paraId="6A2D83A2" w14:textId="77777777" w:rsidR="00A1324B" w:rsidRPr="00A1324B" w:rsidRDefault="00A1324B" w:rsidP="00A1324B">
      <w:pPr>
        <w:rPr>
          <w:i/>
          <w:iCs/>
          <w:sz w:val="20"/>
          <w:szCs w:val="20"/>
        </w:rPr>
      </w:pPr>
      <w:r w:rsidRPr="00A1324B">
        <w:rPr>
          <w:b/>
          <w:bCs/>
          <w:i/>
          <w:iCs/>
          <w:sz w:val="20"/>
          <w:szCs w:val="20"/>
        </w:rPr>
        <w:t>2015</w:t>
      </w:r>
      <w:r w:rsidRPr="00A1324B">
        <w:rPr>
          <w:i/>
          <w:iCs/>
          <w:sz w:val="20"/>
          <w:szCs w:val="20"/>
        </w:rPr>
        <w:t> </w:t>
      </w:r>
      <w:r w:rsidRPr="00A1324B">
        <w:rPr>
          <w:b/>
          <w:bCs/>
          <w:i/>
          <w:iCs/>
          <w:sz w:val="20"/>
          <w:szCs w:val="20"/>
        </w:rPr>
        <w:t>Nr. 20</w:t>
      </w:r>
      <w:r w:rsidRPr="00A1324B">
        <w:rPr>
          <w:i/>
          <w:iCs/>
          <w:sz w:val="20"/>
          <w:szCs w:val="20"/>
        </w:rPr>
        <w:t> </w:t>
      </w:r>
    </w:p>
    <w:p w14:paraId="6F1FCCD1" w14:textId="77777777" w:rsidR="00A1324B" w:rsidRPr="00A1324B" w:rsidRDefault="00A1324B" w:rsidP="00A1324B">
      <w:pPr>
        <w:rPr>
          <w:i/>
          <w:iCs/>
          <w:sz w:val="20"/>
          <w:szCs w:val="20"/>
        </w:rPr>
      </w:pPr>
      <w:r w:rsidRPr="00A1324B">
        <w:rPr>
          <w:i/>
          <w:iCs/>
          <w:sz w:val="20"/>
          <w:szCs w:val="20"/>
        </w:rPr>
        <w:t>Af: Maja Hansen, </w:t>
      </w:r>
      <w:hyperlink r:id="rId6" w:tgtFrame="_blank" w:history="1">
        <w:r w:rsidRPr="00A1324B">
          <w:rPr>
            <w:rStyle w:val="Hyperlink"/>
            <w:i/>
            <w:iCs/>
            <w:sz w:val="20"/>
            <w:szCs w:val="20"/>
          </w:rPr>
          <w:t>www.BUPL.dk</w:t>
        </w:r>
      </w:hyperlink>
      <w:r w:rsidRPr="00A1324B">
        <w:rPr>
          <w:i/>
          <w:iCs/>
          <w:sz w:val="20"/>
          <w:szCs w:val="20"/>
        </w:rPr>
        <w:t>  </w:t>
      </w:r>
    </w:p>
    <w:p w14:paraId="1F4FC15E" w14:textId="51B9FFA6" w:rsidR="00A1324B" w:rsidRPr="00A1324B" w:rsidRDefault="00A1324B" w:rsidP="00A1324B">
      <w:pPr>
        <w:rPr>
          <w:i/>
          <w:iCs/>
          <w:sz w:val="20"/>
          <w:szCs w:val="20"/>
        </w:rPr>
      </w:pPr>
      <w:r w:rsidRPr="00A1324B">
        <w:rPr>
          <w:i/>
          <w:iCs/>
          <w:sz w:val="20"/>
          <w:szCs w:val="20"/>
        </w:rPr>
        <w:t>Fra: </w:t>
      </w:r>
      <w:hyperlink r:id="rId7" w:tgtFrame="_blank" w:history="1">
        <w:r w:rsidRPr="00A1324B">
          <w:rPr>
            <w:rStyle w:val="Hyperlink"/>
            <w:i/>
            <w:iCs/>
            <w:sz w:val="20"/>
            <w:szCs w:val="20"/>
          </w:rPr>
          <w:t>https://bupl.dk/boern-unge/find-artikler/tema-integration-og-religion-pro-et-contra</w:t>
        </w:r>
      </w:hyperlink>
      <w:r w:rsidRPr="00A1324B">
        <w:rPr>
          <w:i/>
          <w:iCs/>
          <w:sz w:val="20"/>
          <w:szCs w:val="20"/>
        </w:rPr>
        <w:t>  </w:t>
      </w:r>
    </w:p>
    <w:p w14:paraId="514CE7FB" w14:textId="77777777" w:rsidR="00A1324B" w:rsidRPr="00A1324B" w:rsidRDefault="00A1324B" w:rsidP="00A1324B"/>
    <w:p w14:paraId="32016E81" w14:textId="657A41EE" w:rsidR="00A1324B" w:rsidRPr="00A1324B" w:rsidRDefault="00A1324B" w:rsidP="00A1324B">
      <w:r w:rsidRPr="00A1324B">
        <w:t>Birgitte Conradsen, Næstformand i BUPL: </w:t>
      </w:r>
      <w:r w:rsidRPr="00A1324B">
        <w:br/>
        <w:t> </w:t>
      </w:r>
      <w:r w:rsidRPr="00A1324B">
        <w:br/>
      </w:r>
      <w:r w:rsidRPr="00A1324B">
        <w:rPr>
          <w:b/>
          <w:bCs/>
        </w:rPr>
        <w:t>Selvfølgelig skal vi tage hensyn</w:t>
      </w:r>
      <w:r w:rsidRPr="00A1324B">
        <w:t> </w:t>
      </w:r>
      <w:r w:rsidRPr="00A1324B">
        <w:br/>
        <w:t> </w:t>
      </w:r>
      <w:r w:rsidRPr="00A1324B">
        <w:br/>
        <w:t>Skal pædagoger i danske dagtilbud tage hensyn til alle religioner i hverdagen? </w:t>
      </w:r>
      <w:r w:rsidRPr="00A1324B">
        <w:br/>
        <w:t> </w:t>
      </w:r>
      <w:r w:rsidRPr="00A1324B">
        <w:br/>
        <w:t>»Det mener jeg helt klart, de skal. Der er religionsfrihed i Danmark, og langt størstedelen af befolkningen har en tro og lever i større eller mindre grad efter den. Børn og unge er ofte underlagt deres forældres tro, til de bliver gamle nok til selv at tage stilling. Vi er nødt til at sørge for, at de ikke kommer i klemme mellem forældre og institution. Det er samtidig vigtigt, at pædagogerne har en dialog med forældrene, så de ikke bliver utrygge i forhold til, om børnene får leverpostej eller synger kristne salmer i kirken. Jo mere åben man er, jo færre problemer opstår der.« </w:t>
      </w:r>
      <w:r w:rsidRPr="00A1324B">
        <w:br/>
        <w:t> </w:t>
      </w:r>
      <w:r w:rsidRPr="00A1324B">
        <w:br/>
        <w:t>(…) </w:t>
      </w:r>
      <w:r w:rsidRPr="00A1324B">
        <w:br/>
        <w:t> </w:t>
      </w:r>
      <w:r w:rsidRPr="00A1324B">
        <w:br/>
        <w:t>Skal institutionerne tage religiøse hensyn, når de serverer mad for børnene? </w:t>
      </w:r>
      <w:r w:rsidRPr="00A1324B">
        <w:br/>
        <w:t> </w:t>
      </w:r>
      <w:r w:rsidRPr="00A1324B">
        <w:br/>
        <w:t>»Institutionerne skal servere dansk mad, men de skal også servere alt muligt andet. Det er ikke enten-eller. Om der skal serveres svinekød, finder institutionerne selv ud af. Der er ingen grund til, at børnene ikke kan få flæskesteg til julefrokosten. Man skal bare sikre, at de børn, der ikke må spise gris, forstår det, og der er noget andet mad til dem. Nogle kommuner som for eksempel Randers har besluttet, at der skal serveres svinekød i institutionerne. Det er tåbeligt – for hvis det giver mange problemer, hvorfor skal man så gøre det? Institutionerne er forskellige, og de må hver især finde en gylden middelvej, der passer dem.« </w:t>
      </w:r>
      <w:r w:rsidRPr="00A1324B">
        <w:br/>
        <w:t> </w:t>
      </w:r>
      <w:r w:rsidRPr="00A1324B">
        <w:br/>
      </w:r>
      <w:r w:rsidRPr="00A1324B">
        <w:lastRenderedPageBreak/>
        <w:t>(…) </w:t>
      </w:r>
      <w:r w:rsidRPr="00A1324B">
        <w:br/>
        <w:t> </w:t>
      </w:r>
      <w:r w:rsidRPr="00A1324B">
        <w:br/>
        <w:t>»Der skal være respekt for forskellighed, og respekten skal gå begge veje, både i forhold til dem, der ikke må spise svinekød, og dem, som gerne vil have svinekød. Det er sundt, at børnene oplever hinandens religion, og at pædagogerne får en snak om forskelligheden med dem. Det handler ikke kun om, at ikke-kristne skal holde dansk jul og synge danske salmer. Respekten skal også gå den anden vej, men vi har selvfølgelig nogle traditioner, som alle børn skal have kendskab til.« </w:t>
      </w:r>
      <w:r w:rsidRPr="00A1324B">
        <w:br/>
        <w:t> </w:t>
      </w:r>
      <w:r w:rsidRPr="00A1324B">
        <w:br/>
        <w:t> </w:t>
      </w:r>
      <w:r w:rsidRPr="00A1324B">
        <w:br/>
        <w:t> </w:t>
      </w:r>
      <w:r w:rsidRPr="00A1324B">
        <w:br/>
        <w:t>Sørine Gotfredsen, samfundsdebattør og præst: </w:t>
      </w:r>
      <w:r w:rsidRPr="00A1324B">
        <w:br/>
        <w:t> </w:t>
      </w:r>
      <w:r w:rsidRPr="00A1324B">
        <w:br/>
      </w:r>
      <w:r w:rsidRPr="00A1324B">
        <w:rPr>
          <w:b/>
          <w:bCs/>
        </w:rPr>
        <w:t>Vi skal holde fast i de kristne normer</w:t>
      </w:r>
      <w:r w:rsidRPr="00A1324B">
        <w:t> </w:t>
      </w:r>
      <w:r w:rsidRPr="00A1324B">
        <w:br/>
        <w:t> </w:t>
      </w:r>
      <w:r w:rsidRPr="00A1324B">
        <w:br/>
        <w:t>Skal pædagoger i danske dagtilbud tage hensyn til alle religioner i hverdagen? </w:t>
      </w:r>
      <w:r w:rsidRPr="00A1324B">
        <w:br/>
        <w:t> </w:t>
      </w:r>
      <w:r w:rsidRPr="00A1324B">
        <w:br/>
        <w:t>»Jeg mener ikke, vi skal indrette danske børnehaver efter muslimske normer. I Danmark må man have den religion, man har lyst til, men når man sender sit barn i en dansk børnehave, kan man ikke forvente, at de offentlige institutioner indretter sig efter en anden religion end den kristne.« </w:t>
      </w:r>
      <w:r w:rsidRPr="00A1324B">
        <w:br/>
        <w:t> </w:t>
      </w:r>
      <w:r w:rsidRPr="00A1324B">
        <w:br/>
        <w:t>»Islam og jødedom er lovreligioner. Det vil sige, de har regler og påbud, man skal overholde for at være en </w:t>
      </w:r>
      <w:proofErr w:type="gramStart"/>
      <w:r w:rsidRPr="00A1324B">
        <w:t>god troende</w:t>
      </w:r>
      <w:proofErr w:type="gramEnd"/>
      <w:r w:rsidRPr="00A1324B">
        <w:t>, hvorimod kristendommen har afskaffet påbud. Hvis vi siger, at de muslimske og jødiske påbud skal være en del af det danske samfund, giver vi køb på den frihed, som vi har i vores religion. Vi skal leve fredeligt sammen, og alle skal have lov til at tro på det, de vil, men i offentlig sammenhæng er det vigtigt, at vi holder fast i de normer, vi har. Vi svigter børn af anden religion, hvis de ikke lærer om, hvad vi hylder her i Danmark.« </w:t>
      </w:r>
      <w:r w:rsidRPr="00A1324B">
        <w:br/>
        <w:t> </w:t>
      </w:r>
      <w:r w:rsidRPr="00A1324B">
        <w:br/>
        <w:t>(…) </w:t>
      </w:r>
      <w:r w:rsidRPr="00A1324B">
        <w:br/>
        <w:t> </w:t>
      </w:r>
      <w:r w:rsidRPr="00A1324B">
        <w:br/>
        <w:t>Skal institutionerne tage religiøse hensyn, når de serverer mad for børnene? </w:t>
      </w:r>
      <w:r w:rsidRPr="00A1324B">
        <w:br/>
        <w:t> </w:t>
      </w:r>
      <w:r w:rsidRPr="00A1324B">
        <w:br/>
        <w:t>»Jeg ville blive meget vred, hvis en institution valgte kun at servere halalkød. Det er en afskaffelse af dansk kultur og en indførelse af lovreligionen. På den måde presser institutionen de danske børn ind i den muslimske religion. Hvis jeg havde børn, der skulle i børnehave, ville jeg absolut foretrække, at de kom i en børnehave, hvor man spiser frikadeller og andet svinekød, fordi jeg opfatter det som en integreret del af dansk kultur.« </w:t>
      </w:r>
      <w:r w:rsidRPr="00A1324B">
        <w:br/>
        <w:t> </w:t>
      </w:r>
    </w:p>
    <w:p w14:paraId="0E4EC101" w14:textId="0184EF99" w:rsidR="00AF7E3D" w:rsidRPr="00664AFB" w:rsidRDefault="00A1324B" w:rsidP="00A1324B">
      <w:pPr>
        <w:rPr>
          <w:b/>
          <w:bCs/>
          <w:sz w:val="32"/>
          <w:szCs w:val="32"/>
        </w:rPr>
      </w:pPr>
      <w:r w:rsidRPr="00A1324B">
        <w:br/>
        <w:t> </w:t>
      </w:r>
      <w:r w:rsidRPr="00A1324B">
        <w:br/>
      </w:r>
      <w:r w:rsidRPr="00370CF7">
        <w:rPr>
          <w:b/>
          <w:bCs/>
          <w:color w:val="4472C4" w:themeColor="accent1"/>
          <w:sz w:val="32"/>
          <w:szCs w:val="32"/>
        </w:rPr>
        <w:t> </w:t>
      </w:r>
      <w:r w:rsidR="00AF7E3D" w:rsidRPr="00370CF7">
        <w:rPr>
          <w:b/>
          <w:bCs/>
          <w:color w:val="4472C4" w:themeColor="accent1"/>
          <w:sz w:val="32"/>
          <w:szCs w:val="32"/>
        </w:rPr>
        <w:t>Bilag 2</w:t>
      </w:r>
    </w:p>
    <w:p w14:paraId="0869775D" w14:textId="28E9BBCD" w:rsidR="00AF7E3D" w:rsidRDefault="00AF7E3D" w:rsidP="00A1324B">
      <w:r>
        <w:t>Uddrag af koranen</w:t>
      </w:r>
      <w:r w:rsidR="0002531F">
        <w:t xml:space="preserve"> på dansk</w:t>
      </w:r>
      <w:r>
        <w:t>, sura 5 vers 3</w:t>
      </w:r>
      <w:r w:rsidR="00690236">
        <w:t xml:space="preserve"> (Ellen Wulffs autoriserede oversættelse)</w:t>
      </w:r>
    </w:p>
    <w:p w14:paraId="2C5614F7" w14:textId="665BD1AA" w:rsidR="004636F5" w:rsidRDefault="00721479">
      <w:r>
        <w:t xml:space="preserve">Selvdøde dyr, </w:t>
      </w:r>
      <w:r w:rsidR="00C839D3">
        <w:t>blod og svinekød er jer forbudt, samt det, hvorover</w:t>
      </w:r>
      <w:r w:rsidR="00C6449E">
        <w:t xml:space="preserve"> et andet navn end Guds er udtalt; det, der er dødt</w:t>
      </w:r>
      <w:r w:rsidR="00A665EC">
        <w:t xml:space="preserve"> ved kvælning eller slag; det, der er styrtet, stanget ihjel eller halvvejs</w:t>
      </w:r>
      <w:r w:rsidR="00196B81">
        <w:t xml:space="preserve"> ædt af rovdyr, med mindre I får skåret halsen over på det</w:t>
      </w:r>
      <w:r w:rsidR="00A21B2C">
        <w:t xml:space="preserve"> (…) det er gudløst.</w:t>
      </w:r>
    </w:p>
    <w:sectPr w:rsidR="004636F5" w:rsidSect="00A1324B">
      <w:footerReference w:type="default" r:id="rId8"/>
      <w:pgSz w:w="11906" w:h="16838"/>
      <w:pgMar w:top="1701" w:right="1134" w:bottom="1701" w:left="1134" w:header="709" w:footer="709" w:gutter="0"/>
      <w:lnNumType w:countBy="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40295" w14:textId="77777777" w:rsidR="00071E6F" w:rsidRDefault="00071E6F" w:rsidP="00A1324B">
      <w:pPr>
        <w:spacing w:after="0" w:line="240" w:lineRule="auto"/>
      </w:pPr>
      <w:r>
        <w:separator/>
      </w:r>
    </w:p>
  </w:endnote>
  <w:endnote w:type="continuationSeparator" w:id="0">
    <w:p w14:paraId="17496B5E" w14:textId="77777777" w:rsidR="00071E6F" w:rsidRDefault="00071E6F" w:rsidP="00A13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72867"/>
      <w:docPartObj>
        <w:docPartGallery w:val="Page Numbers (Bottom of Page)"/>
        <w:docPartUnique/>
      </w:docPartObj>
    </w:sdtPr>
    <w:sdtEndPr/>
    <w:sdtContent>
      <w:p w14:paraId="7D963480" w14:textId="05395503" w:rsidR="00A1324B" w:rsidRDefault="00A1324B">
        <w:pPr>
          <w:pStyle w:val="Sidefod"/>
          <w:jc w:val="center"/>
        </w:pPr>
        <w:r>
          <w:fldChar w:fldCharType="begin"/>
        </w:r>
        <w:r>
          <w:instrText>PAGE   \* MERGEFORMAT</w:instrText>
        </w:r>
        <w:r>
          <w:fldChar w:fldCharType="separate"/>
        </w:r>
        <w:r>
          <w:t>2</w:t>
        </w:r>
        <w:r>
          <w:fldChar w:fldCharType="end"/>
        </w:r>
      </w:p>
    </w:sdtContent>
  </w:sdt>
  <w:p w14:paraId="39903067" w14:textId="77777777" w:rsidR="00A1324B" w:rsidRDefault="00A1324B">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04DB8" w14:textId="77777777" w:rsidR="00071E6F" w:rsidRDefault="00071E6F" w:rsidP="00A1324B">
      <w:pPr>
        <w:spacing w:after="0" w:line="240" w:lineRule="auto"/>
      </w:pPr>
      <w:r>
        <w:separator/>
      </w:r>
    </w:p>
  </w:footnote>
  <w:footnote w:type="continuationSeparator" w:id="0">
    <w:p w14:paraId="13BCC36F" w14:textId="77777777" w:rsidR="00071E6F" w:rsidRDefault="00071E6F" w:rsidP="00A132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24B"/>
    <w:rsid w:val="000251D4"/>
    <w:rsid w:val="0002531F"/>
    <w:rsid w:val="000705BF"/>
    <w:rsid w:val="00071E6F"/>
    <w:rsid w:val="00081363"/>
    <w:rsid w:val="00196B81"/>
    <w:rsid w:val="00243964"/>
    <w:rsid w:val="003316BF"/>
    <w:rsid w:val="003561AD"/>
    <w:rsid w:val="00370CF7"/>
    <w:rsid w:val="003A3199"/>
    <w:rsid w:val="003A3CBA"/>
    <w:rsid w:val="004354A1"/>
    <w:rsid w:val="004636F5"/>
    <w:rsid w:val="00515E9C"/>
    <w:rsid w:val="00573BE2"/>
    <w:rsid w:val="00591261"/>
    <w:rsid w:val="00611251"/>
    <w:rsid w:val="00664AFB"/>
    <w:rsid w:val="00690236"/>
    <w:rsid w:val="00716C63"/>
    <w:rsid w:val="00721479"/>
    <w:rsid w:val="00865E5C"/>
    <w:rsid w:val="00987FB8"/>
    <w:rsid w:val="00A1324B"/>
    <w:rsid w:val="00A21B2C"/>
    <w:rsid w:val="00A665EC"/>
    <w:rsid w:val="00AF7E3D"/>
    <w:rsid w:val="00BB0147"/>
    <w:rsid w:val="00C6449E"/>
    <w:rsid w:val="00C839D3"/>
    <w:rsid w:val="00D1314E"/>
    <w:rsid w:val="00DE420B"/>
    <w:rsid w:val="00E06FD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BB20C"/>
  <w15:chartTrackingRefBased/>
  <w15:docId w15:val="{47DD807E-B5AD-4390-840B-A0B4F551C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A132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A132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A1324B"/>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A1324B"/>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A1324B"/>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A1324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1324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1324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1324B"/>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1324B"/>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semiHidden/>
    <w:rsid w:val="00A1324B"/>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A1324B"/>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A1324B"/>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A1324B"/>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A1324B"/>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A1324B"/>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A1324B"/>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A1324B"/>
    <w:rPr>
      <w:rFonts w:eastAsiaTheme="majorEastAsia" w:cstheme="majorBidi"/>
      <w:color w:val="272727" w:themeColor="text1" w:themeTint="D8"/>
    </w:rPr>
  </w:style>
  <w:style w:type="paragraph" w:styleId="Titel">
    <w:name w:val="Title"/>
    <w:basedOn w:val="Normal"/>
    <w:next w:val="Normal"/>
    <w:link w:val="TitelTegn"/>
    <w:uiPriority w:val="10"/>
    <w:qFormat/>
    <w:rsid w:val="00A132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A1324B"/>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A1324B"/>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A1324B"/>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A1324B"/>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A1324B"/>
    <w:rPr>
      <w:i/>
      <w:iCs/>
      <w:color w:val="404040" w:themeColor="text1" w:themeTint="BF"/>
    </w:rPr>
  </w:style>
  <w:style w:type="paragraph" w:styleId="Listeafsnit">
    <w:name w:val="List Paragraph"/>
    <w:basedOn w:val="Normal"/>
    <w:uiPriority w:val="34"/>
    <w:qFormat/>
    <w:rsid w:val="00A1324B"/>
    <w:pPr>
      <w:ind w:left="720"/>
      <w:contextualSpacing/>
    </w:pPr>
  </w:style>
  <w:style w:type="character" w:styleId="Kraftigfremhvning">
    <w:name w:val="Intense Emphasis"/>
    <w:basedOn w:val="Standardskrifttypeiafsnit"/>
    <w:uiPriority w:val="21"/>
    <w:qFormat/>
    <w:rsid w:val="00A1324B"/>
    <w:rPr>
      <w:i/>
      <w:iCs/>
      <w:color w:val="2F5496" w:themeColor="accent1" w:themeShade="BF"/>
    </w:rPr>
  </w:style>
  <w:style w:type="paragraph" w:styleId="Strktcitat">
    <w:name w:val="Intense Quote"/>
    <w:basedOn w:val="Normal"/>
    <w:next w:val="Normal"/>
    <w:link w:val="StrktcitatTegn"/>
    <w:uiPriority w:val="30"/>
    <w:qFormat/>
    <w:rsid w:val="00A132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A1324B"/>
    <w:rPr>
      <w:i/>
      <w:iCs/>
      <w:color w:val="2F5496" w:themeColor="accent1" w:themeShade="BF"/>
    </w:rPr>
  </w:style>
  <w:style w:type="character" w:styleId="Kraftighenvisning">
    <w:name w:val="Intense Reference"/>
    <w:basedOn w:val="Standardskrifttypeiafsnit"/>
    <w:uiPriority w:val="32"/>
    <w:qFormat/>
    <w:rsid w:val="00A1324B"/>
    <w:rPr>
      <w:b/>
      <w:bCs/>
      <w:smallCaps/>
      <w:color w:val="2F5496" w:themeColor="accent1" w:themeShade="BF"/>
      <w:spacing w:val="5"/>
    </w:rPr>
  </w:style>
  <w:style w:type="character" w:styleId="Hyperlink">
    <w:name w:val="Hyperlink"/>
    <w:basedOn w:val="Standardskrifttypeiafsnit"/>
    <w:uiPriority w:val="99"/>
    <w:unhideWhenUsed/>
    <w:rsid w:val="00A1324B"/>
    <w:rPr>
      <w:color w:val="0563C1" w:themeColor="hyperlink"/>
      <w:u w:val="single"/>
    </w:rPr>
  </w:style>
  <w:style w:type="character" w:styleId="Ulstomtale">
    <w:name w:val="Unresolved Mention"/>
    <w:basedOn w:val="Standardskrifttypeiafsnit"/>
    <w:uiPriority w:val="99"/>
    <w:semiHidden/>
    <w:unhideWhenUsed/>
    <w:rsid w:val="00A1324B"/>
    <w:rPr>
      <w:color w:val="605E5C"/>
      <w:shd w:val="clear" w:color="auto" w:fill="E1DFDD"/>
    </w:rPr>
  </w:style>
  <w:style w:type="character" w:styleId="Linjenummer">
    <w:name w:val="line number"/>
    <w:basedOn w:val="Standardskrifttypeiafsnit"/>
    <w:uiPriority w:val="99"/>
    <w:semiHidden/>
    <w:unhideWhenUsed/>
    <w:rsid w:val="00A1324B"/>
  </w:style>
  <w:style w:type="paragraph" w:styleId="Sidehoved">
    <w:name w:val="header"/>
    <w:basedOn w:val="Normal"/>
    <w:link w:val="SidehovedTegn"/>
    <w:uiPriority w:val="99"/>
    <w:unhideWhenUsed/>
    <w:rsid w:val="00A1324B"/>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1324B"/>
  </w:style>
  <w:style w:type="paragraph" w:styleId="Sidefod">
    <w:name w:val="footer"/>
    <w:basedOn w:val="Normal"/>
    <w:link w:val="SidefodTegn"/>
    <w:uiPriority w:val="99"/>
    <w:unhideWhenUsed/>
    <w:rsid w:val="00A1324B"/>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13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yperlink" Target="https://bupl.dk/boern-unge/find-artikler/tema-integration-og-religion-pro-et-contra" TargetMode="Externa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upl.dk/" TargetMode="Externa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9F524F-A292-406E-8F72-ABA78D079E0B}"/>
</file>

<file path=customXml/itemProps2.xml><?xml version="1.0" encoding="utf-8"?>
<ds:datastoreItem xmlns:ds="http://schemas.openxmlformats.org/officeDocument/2006/customXml" ds:itemID="{A9BF4DF7-E3E8-41B3-8249-2518CB09F4FA}"/>
</file>

<file path=customXml/itemProps3.xml><?xml version="1.0" encoding="utf-8"?>
<ds:datastoreItem xmlns:ds="http://schemas.openxmlformats.org/officeDocument/2006/customXml" ds:itemID="{E8A3A5FA-4990-4CD0-A575-52926E6B1F7A}"/>
</file>

<file path=docProps/app.xml><?xml version="1.0" encoding="utf-8"?>
<Properties xmlns="http://schemas.openxmlformats.org/officeDocument/2006/extended-properties" xmlns:vt="http://schemas.openxmlformats.org/officeDocument/2006/docPropsVTypes">
  <Template>Normal</Template>
  <TotalTime>68</TotalTime>
  <Pages>2</Pages>
  <Words>669</Words>
  <Characters>4085</Characters>
  <Application>Microsoft Office Word</Application>
  <DocSecurity>0</DocSecurity>
  <Lines>34</Lines>
  <Paragraphs>9</Paragraphs>
  <ScaleCrop>false</ScaleCrop>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Svea Kaae Andersen</dc:creator>
  <cp:keywords/>
  <dc:description/>
  <cp:lastModifiedBy>Svea Kaae Andersen</cp:lastModifiedBy>
  <cp:revision>24</cp:revision>
  <dcterms:created xsi:type="dcterms:W3CDTF">2025-12-17T20:28:00Z</dcterms:created>
  <dcterms:modified xsi:type="dcterms:W3CDTF">2026-01-04T08:56:00Z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